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bookmarkStart w:id="0" w:name="_GoBack"/>
      <w:bookmarkEnd w:id="0"/>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01 באוקטובר 2024</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כ"ח באלול תשפ"ד</w:t>
      </w:r>
      <w:r w:rsidRPr="00832AD7">
        <w:rPr>
          <w:rFonts w:ascii="Times New Roman" w:eastAsia="Times New Roman" w:hAnsi="Times New Roman" w:cs="David" w:hint="cs"/>
          <w:sz w:val="16"/>
          <w:szCs w:val="16"/>
          <w:rtl/>
        </w:rPr>
        <w:fldChar w:fldCharType="end"/>
      </w:r>
    </w:p>
    <w:p w:rsidR="00515986" w:rsidRPr="00DF7B23" w:rsidRDefault="00983123" w:rsidP="00DF7B23">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4700-1039-2024-007311</w:t>
      </w:r>
      <w:r w:rsidRPr="00832AD7">
        <w:rPr>
          <w:rFonts w:ascii="Times New Roman" w:eastAsia="Times New Roman" w:hAnsi="Times New Roman" w:cs="David" w:hint="cs"/>
          <w:sz w:val="16"/>
          <w:szCs w:val="16"/>
          <w:rtl/>
        </w:rPr>
        <w:fldChar w:fldCharType="end"/>
      </w:r>
    </w:p>
    <w:p w:rsidR="00EA6DF3" w:rsidRPr="00DF7B23" w:rsidRDefault="00DF7B23" w:rsidP="00DF7B23">
      <w:pPr>
        <w:spacing w:after="120" w:line="360" w:lineRule="auto"/>
        <w:contextualSpacing/>
        <w:jc w:val="center"/>
        <w:rPr>
          <w:rFonts w:ascii="FrankRuehl" w:hAnsi="FrankRuehl" w:cs="FrankRuehl"/>
          <w:b/>
          <w:bCs/>
          <w:color w:val="002060"/>
          <w:sz w:val="28"/>
          <w:szCs w:val="28"/>
          <w:rtl/>
        </w:rPr>
      </w:pPr>
      <w:r w:rsidRPr="00DF7B23">
        <w:rPr>
          <w:rFonts w:ascii="FrankRuehl" w:hAnsi="FrankRuehl" w:cs="FrankRuehl"/>
          <w:b/>
          <w:bCs/>
          <w:color w:val="002060"/>
          <w:sz w:val="28"/>
          <w:szCs w:val="28"/>
          <w:u w:val="single"/>
          <w:rtl/>
        </w:rPr>
        <w:t xml:space="preserve">תקציר </w:t>
      </w:r>
      <w:r w:rsidR="00EA6DF3" w:rsidRPr="00DF7B23">
        <w:rPr>
          <w:rFonts w:ascii="FrankRuehl" w:hAnsi="FrankRuehl" w:cs="FrankRuehl" w:hint="cs"/>
          <w:b/>
          <w:bCs/>
          <w:color w:val="002060"/>
          <w:sz w:val="28"/>
          <w:szCs w:val="28"/>
          <w:u w:val="single"/>
          <w:rtl/>
        </w:rPr>
        <w:t>הכרעת-דין</w:t>
      </w:r>
      <w:r w:rsidRPr="00DF7B23">
        <w:rPr>
          <w:rFonts w:ascii="FrankRuehl" w:hAnsi="FrankRuehl" w:cs="FrankRuehl" w:hint="cs"/>
          <w:b/>
          <w:bCs/>
          <w:color w:val="002060"/>
          <w:sz w:val="28"/>
          <w:szCs w:val="28"/>
          <w:u w:val="single"/>
          <w:rtl/>
        </w:rPr>
        <w:t xml:space="preserve"> בתיק תפ"ח </w:t>
      </w:r>
      <w:r w:rsidRPr="00DF7B23">
        <w:rPr>
          <w:rFonts w:ascii="FrankRuehl" w:hAnsi="FrankRuehl" w:cs="FrankRuehl"/>
          <w:b/>
          <w:bCs/>
          <w:color w:val="002060"/>
          <w:sz w:val="28"/>
          <w:szCs w:val="28"/>
          <w:u w:val="single"/>
          <w:rtl/>
        </w:rPr>
        <w:t>47363-10-21</w:t>
      </w:r>
      <w:r w:rsidRPr="00DF7B23">
        <w:rPr>
          <w:rFonts w:ascii="FrankRuehl" w:hAnsi="FrankRuehl" w:cs="FrankRuehl" w:hint="cs"/>
          <w:b/>
          <w:bCs/>
          <w:color w:val="002060"/>
          <w:sz w:val="28"/>
          <w:szCs w:val="28"/>
          <w:u w:val="single"/>
          <w:rtl/>
        </w:rPr>
        <w:t xml:space="preserve"> מדינת ישראל נ' שפירא</w:t>
      </w:r>
    </w:p>
    <w:p w:rsidR="00EA6DF3" w:rsidRPr="00DF7B23" w:rsidRDefault="00EA6DF3" w:rsidP="00EA6DF3">
      <w:pPr>
        <w:spacing w:after="120"/>
        <w:contextualSpacing/>
        <w:jc w:val="center"/>
        <w:rPr>
          <w:rFonts w:ascii="FrankRuehl" w:hAnsi="FrankRuehl" w:cs="FrankRuehl"/>
          <w:b/>
          <w:bCs/>
          <w:color w:val="002060"/>
          <w:sz w:val="28"/>
          <w:szCs w:val="28"/>
          <w:u w:val="single"/>
          <w:rtl/>
        </w:rPr>
      </w:pPr>
      <w:r w:rsidRPr="00DF7B23">
        <w:rPr>
          <w:rFonts w:ascii="FrankRuehl" w:hAnsi="FrankRuehl" w:cs="FrankRuehl" w:hint="cs"/>
          <w:b/>
          <w:bCs/>
          <w:color w:val="002060"/>
          <w:sz w:val="28"/>
          <w:szCs w:val="28"/>
          <w:u w:val="single"/>
          <w:rtl/>
        </w:rPr>
        <w:t xml:space="preserve">הרכב </w:t>
      </w:r>
      <w:r w:rsidR="00DF7B23" w:rsidRPr="00DF7B23">
        <w:rPr>
          <w:rFonts w:ascii="FrankRuehl" w:hAnsi="FrankRuehl" w:cs="FrankRuehl" w:hint="cs"/>
          <w:b/>
          <w:bCs/>
          <w:color w:val="002060"/>
          <w:sz w:val="28"/>
          <w:szCs w:val="28"/>
          <w:u w:val="single"/>
          <w:rtl/>
        </w:rPr>
        <w:t>ה</w:t>
      </w:r>
      <w:r w:rsidRPr="00DF7B23">
        <w:rPr>
          <w:rFonts w:ascii="FrankRuehl" w:hAnsi="FrankRuehl" w:cs="FrankRuehl" w:hint="cs"/>
          <w:b/>
          <w:bCs/>
          <w:color w:val="002060"/>
          <w:sz w:val="28"/>
          <w:szCs w:val="28"/>
          <w:u w:val="single"/>
          <w:rtl/>
        </w:rPr>
        <w:t xml:space="preserve">שופטים אב"ד </w:t>
      </w:r>
      <w:r w:rsidR="00DF7B23">
        <w:rPr>
          <w:rFonts w:ascii="FrankRuehl" w:hAnsi="FrankRuehl" w:cs="FrankRuehl" w:hint="cs"/>
          <w:b/>
          <w:bCs/>
          <w:color w:val="002060"/>
          <w:sz w:val="28"/>
          <w:szCs w:val="28"/>
          <w:u w:val="single"/>
          <w:rtl/>
        </w:rPr>
        <w:t>ס'</w:t>
      </w:r>
      <w:r w:rsidR="00DF7B23" w:rsidRPr="00DF7B23">
        <w:rPr>
          <w:rFonts w:ascii="FrankRuehl" w:hAnsi="FrankRuehl" w:cs="FrankRuehl" w:hint="cs"/>
          <w:b/>
          <w:bCs/>
          <w:color w:val="002060"/>
          <w:sz w:val="28"/>
          <w:szCs w:val="28"/>
          <w:u w:val="single"/>
          <w:rtl/>
        </w:rPr>
        <w:t xml:space="preserve"> הנשיא השופט ארנון דראל, השופט אלי אברבנאל והשופטת חיה זנדברג</w:t>
      </w:r>
    </w:p>
    <w:p w:rsidR="00DF7B23" w:rsidRPr="00DF7B23" w:rsidRDefault="00DF7B23" w:rsidP="00DF7B23">
      <w:pPr>
        <w:spacing w:line="360" w:lineRule="auto"/>
        <w:jc w:val="both"/>
        <w:rPr>
          <w:rFonts w:cs="David"/>
          <w:sz w:val="20"/>
          <w:szCs w:val="24"/>
          <w:rtl/>
        </w:rPr>
      </w:pPr>
      <w:r w:rsidRPr="00DF7B23">
        <w:rPr>
          <w:rFonts w:cs="David" w:hint="cs"/>
          <w:sz w:val="20"/>
          <w:szCs w:val="24"/>
          <w:rtl/>
        </w:rPr>
        <w:t>בית המשפט המחוזי בירושלים (סגן הנשיא ארנון דראל, השופט אלי אברבנאל, השופטת חיה זנדברג) הרשיע את הנאשם, גיא שפירא, בעבירה של רצח בנסיבות מחמירות (לפי החלופה של ביצוע הרצח באכזריות מיוחדת) ובעבירה של שיבוש מהלכי משפט.</w:t>
      </w:r>
    </w:p>
    <w:p w:rsidR="00DF7B23" w:rsidRPr="00DF7B23" w:rsidRDefault="00DF7B23" w:rsidP="00DF7B23">
      <w:pPr>
        <w:spacing w:line="360" w:lineRule="auto"/>
        <w:jc w:val="both"/>
        <w:rPr>
          <w:rFonts w:cs="David"/>
          <w:sz w:val="20"/>
          <w:szCs w:val="24"/>
        </w:rPr>
      </w:pPr>
      <w:r w:rsidRPr="00DF7B23">
        <w:rPr>
          <w:rFonts w:cs="David" w:hint="cs"/>
          <w:sz w:val="20"/>
          <w:szCs w:val="24"/>
          <w:rtl/>
        </w:rPr>
        <w:t xml:space="preserve">בבוקר יום 19.9.2021 הנאשם ואשתו, גב' רחל </w:t>
      </w:r>
      <w:proofErr w:type="spellStart"/>
      <w:r w:rsidRPr="00DF7B23">
        <w:rPr>
          <w:rFonts w:cs="David" w:hint="cs"/>
          <w:sz w:val="20"/>
          <w:szCs w:val="24"/>
          <w:rtl/>
        </w:rPr>
        <w:t>איזנשטדט</w:t>
      </w:r>
      <w:proofErr w:type="spellEnd"/>
      <w:r w:rsidRPr="00DF7B23">
        <w:rPr>
          <w:rFonts w:cs="David" w:hint="cs"/>
          <w:sz w:val="20"/>
          <w:szCs w:val="24"/>
          <w:rtl/>
        </w:rPr>
        <w:t xml:space="preserve"> ז"ל רבו, בהמשך לסכסוך שהתגלע ביניהם. הנאשם יצא מהבית וחזר בשעה 09:15 לערך.  עם שובו החל עימות נוסף בין הנאשם לבין רחל, ובמהלכו הניח הנאשם את ידיו על צווארה של רחל, הפיל אותה על הגב, רכן מעליה והוסיף לאחוז בצווארה. הנאשם לחץ את ידיו ואצבעותיו בחוזקה על הצוואר וחנק את רחל, בעוד היא נאבקת בו, ומנסה להתגונן בפניו. הנאשם התבונן בפניה, הוסיף לחנוק אותה בכוח וללפות את צווארה עד שהביא למותה. </w:t>
      </w:r>
    </w:p>
    <w:p w:rsidR="00DF7B23" w:rsidRPr="00DF7B23" w:rsidRDefault="00DF7B23" w:rsidP="00DF7B23">
      <w:pPr>
        <w:spacing w:line="360" w:lineRule="auto"/>
        <w:jc w:val="both"/>
        <w:rPr>
          <w:rFonts w:cs="David"/>
          <w:sz w:val="20"/>
          <w:szCs w:val="24"/>
        </w:rPr>
      </w:pPr>
      <w:r w:rsidRPr="00DF7B23">
        <w:rPr>
          <w:rFonts w:cs="David" w:hint="cs"/>
          <w:sz w:val="20"/>
          <w:szCs w:val="24"/>
          <w:rtl/>
        </w:rPr>
        <w:t xml:space="preserve">לאחר המוות גרר הנאשם את גופתה לחדר האמבטיה, הכניס את הגופה לתוך האמבטיה, פנה למטבח, הביא משם סכין וחתך בעזרתו חתך עמוק בפרק ידה השמאלית כדי ליצור מצג שלפיו התאבדה. לאחר שהגיע למסקנה שהמצג שביקש ליצור אינו מספיק הוא הטביע את ראשה בתוך המים, נעל את דלת האמבטיה מבחוץ. הנאשם פנה לחדרו, השתתף בישיבת זום שעסקה בענייני עבודתו שנמשכה כשעה וחצי. בסמוך לשעה 12:00 ירד הנאשם לחדר האמבטיה ופתח את הדלת, רוקן את המים מתוך האמבטיה, ובמקביל התקשר למוקד מגן דוד אדום ודיווח על כך שמצא את אשתו כשהיא אינה נושמת. </w:t>
      </w:r>
    </w:p>
    <w:p w:rsidR="00DF7B23" w:rsidRPr="00DF7B23" w:rsidRDefault="00DF7B23" w:rsidP="00DF7B23">
      <w:pPr>
        <w:spacing w:line="360" w:lineRule="auto"/>
        <w:jc w:val="both"/>
        <w:rPr>
          <w:rFonts w:cs="David"/>
          <w:sz w:val="20"/>
          <w:szCs w:val="24"/>
          <w:rtl/>
        </w:rPr>
      </w:pPr>
      <w:r w:rsidRPr="00DF7B23">
        <w:rPr>
          <w:rFonts w:cs="David" w:hint="cs"/>
          <w:sz w:val="20"/>
          <w:szCs w:val="24"/>
          <w:rtl/>
        </w:rPr>
        <w:t>ביום 21.9.2021 ביקשה המשטרה לעצור את הנאשם לצרכי חקירה, אך הוא נמלט, נסע ברכבו לכיוון דרום ולאחר שהרכב נעצר הוא יצא מהרכב וירה בעצמו באקדחו האישי לעיני השוטרים.</w:t>
      </w:r>
    </w:p>
    <w:p w:rsidR="00DF7B23" w:rsidRPr="00DF7B23" w:rsidRDefault="00DF7B23" w:rsidP="00DF7B23">
      <w:pPr>
        <w:spacing w:line="360" w:lineRule="auto"/>
        <w:jc w:val="both"/>
        <w:rPr>
          <w:rFonts w:cs="David"/>
          <w:sz w:val="20"/>
          <w:szCs w:val="24"/>
          <w:rtl/>
        </w:rPr>
      </w:pPr>
      <w:r w:rsidRPr="00DF7B23">
        <w:rPr>
          <w:rFonts w:cs="David" w:hint="cs"/>
          <w:sz w:val="20"/>
          <w:szCs w:val="24"/>
          <w:rtl/>
        </w:rPr>
        <w:t xml:space="preserve">לא הייתה מחלוקת על כך שהנאשם הוא שגרם למותה של רחל ז"ל והדיון התמקד בשאלת קיומן של אחת הנסיבות המחמירות </w:t>
      </w:r>
      <w:r w:rsidRPr="00DF7B23">
        <w:rPr>
          <w:rFonts w:cs="David"/>
          <w:sz w:val="20"/>
          <w:szCs w:val="24"/>
          <w:rtl/>
        </w:rPr>
        <w:t>–</w:t>
      </w:r>
      <w:r w:rsidRPr="00DF7B23">
        <w:rPr>
          <w:rFonts w:cs="David" w:hint="cs"/>
          <w:sz w:val="20"/>
          <w:szCs w:val="24"/>
          <w:rtl/>
        </w:rPr>
        <w:t xml:space="preserve"> אכזריות מיוחדת וביצוע ההמתה לאחר תכנון או הליך ממשי של שקילה -  וכן בשאלה האם ההמתה נעשתה בנסיבות של אחריות מופחתת בשל התגרות מצד רחל בנאשם. </w:t>
      </w:r>
    </w:p>
    <w:p w:rsidR="00DF7B23" w:rsidRPr="00DF7B23" w:rsidRDefault="00DF7B23" w:rsidP="00DF7B23">
      <w:pPr>
        <w:spacing w:line="360" w:lineRule="auto"/>
        <w:jc w:val="both"/>
        <w:rPr>
          <w:rFonts w:cs="David"/>
          <w:sz w:val="20"/>
          <w:szCs w:val="24"/>
          <w:rtl/>
        </w:rPr>
      </w:pPr>
      <w:r w:rsidRPr="00DF7B23">
        <w:rPr>
          <w:rFonts w:cs="David" w:hint="cs"/>
          <w:sz w:val="20"/>
          <w:szCs w:val="24"/>
          <w:rtl/>
        </w:rPr>
        <w:t>בהכרעת הדין התקבלה עמדת המאשימה כי מתקיימת אחת הנסיבות המחמירות, המתה תוך אכזריות מיוחדת, ומשכך הורשע הנאשם ברצח בנסיבות מחמירות, שלצידה עונש של מאסר עולם חובה. קביעה זו התבססה על כך שהנאשם חנק את המנוחה כשהיא שוכבת מולו ומביטה עליו; החניקה נמשכה מספר דקות, תוך מאבק, שכל אותה עת נשקפו פחד ובעתה בפניה של המנוחה (כפי שהעיד הנאשם).</w:t>
      </w:r>
    </w:p>
    <w:p w:rsidR="00EA6DF3" w:rsidRPr="00DF7B23" w:rsidRDefault="00DF7B23" w:rsidP="00DF7B23">
      <w:pPr>
        <w:spacing w:line="360" w:lineRule="auto"/>
        <w:jc w:val="both"/>
        <w:rPr>
          <w:rFonts w:cs="David"/>
          <w:sz w:val="20"/>
          <w:szCs w:val="24"/>
          <w:rtl/>
        </w:rPr>
      </w:pPr>
      <w:r w:rsidRPr="00DF7B23">
        <w:rPr>
          <w:rFonts w:cs="David" w:hint="cs"/>
          <w:sz w:val="20"/>
          <w:szCs w:val="24"/>
          <w:rtl/>
        </w:rPr>
        <w:t>טענת ההגנה לקיומה של המתה בנסיבות של אחריות מופחתת, שנשענה על התגרות מצד רחל בנאשם, נדחתה. וכן נדחתה טענת המאשימה כי המתה בוצעה לאחר תכנון או הליך ממשי של שקילה, זאת נוכח עובדות העניין. הנאשם הורשע בעבירה נוספת של שיבוש מהלכי משפט.</w:t>
      </w:r>
    </w:p>
    <w:p w:rsidR="00515986" w:rsidRPr="00DF7B23" w:rsidRDefault="00EA6DF3" w:rsidP="00DF7B23">
      <w:pPr>
        <w:spacing w:after="120" w:line="360" w:lineRule="auto"/>
        <w:jc w:val="center"/>
        <w:rPr>
          <w:rFonts w:ascii="FrankRuehl" w:hAnsi="FrankRuehl" w:cs="FrankRuehl"/>
          <w:b/>
          <w:bCs/>
          <w:color w:val="002060"/>
          <w:sz w:val="26"/>
          <w:szCs w:val="26"/>
          <w:rtl/>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sectPr w:rsidR="00515986" w:rsidRPr="00DF7B23"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7D0" w:rsidRDefault="00EF77D0" w:rsidP="00730CA1">
      <w:pPr>
        <w:spacing w:after="0" w:line="240" w:lineRule="auto"/>
      </w:pPr>
      <w:r>
        <w:separator/>
      </w:r>
    </w:p>
  </w:endnote>
  <w:endnote w:type="continuationSeparator" w:id="0">
    <w:p w:rsidR="00EF77D0" w:rsidRDefault="00EF77D0"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DF7B23"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0"/>
        <w:szCs w:val="20"/>
        <w:rtl/>
      </w:rPr>
    </w:pPr>
    <w:r w:rsidRPr="00DF7B23">
      <w:rPr>
        <w:rFonts w:ascii="Times New Roman" w:eastAsia="Times New Roman" w:hAnsi="Times New Roman" w:cs="FrankRuehl" w:hint="cs"/>
        <w:b/>
        <w:bCs/>
        <w:color w:val="000080"/>
        <w:spacing w:val="6"/>
        <w:sz w:val="20"/>
        <w:szCs w:val="20"/>
        <w:rtl/>
      </w:rPr>
      <w:t xml:space="preserve">בית משפט העליון | דרך השופט מאיר שמגר 1 | </w:t>
    </w:r>
    <w:proofErr w:type="spellStart"/>
    <w:r w:rsidRPr="00DF7B23">
      <w:rPr>
        <w:rFonts w:ascii="Times New Roman" w:eastAsia="Times New Roman" w:hAnsi="Times New Roman" w:cs="FrankRuehl" w:hint="cs"/>
        <w:b/>
        <w:bCs/>
        <w:color w:val="000080"/>
        <w:spacing w:val="6"/>
        <w:sz w:val="20"/>
        <w:szCs w:val="20"/>
        <w:rtl/>
      </w:rPr>
      <w:t>קרית</w:t>
    </w:r>
    <w:proofErr w:type="spellEnd"/>
    <w:r w:rsidRPr="00DF7B23">
      <w:rPr>
        <w:rFonts w:ascii="Times New Roman" w:eastAsia="Times New Roman" w:hAnsi="Times New Roman" w:cs="FrankRuehl" w:hint="cs"/>
        <w:b/>
        <w:bCs/>
        <w:color w:val="000080"/>
        <w:spacing w:val="6"/>
        <w:sz w:val="20"/>
        <w:szCs w:val="20"/>
        <w:rtl/>
      </w:rPr>
      <w:t xml:space="preserve"> בן גוריון | ירושלים</w:t>
    </w:r>
  </w:p>
  <w:p w:rsidR="003C61AF" w:rsidRPr="00DF7B23"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0"/>
        <w:szCs w:val="20"/>
        <w:rtl/>
      </w:rPr>
    </w:pPr>
    <w:r w:rsidRPr="00DF7B23">
      <w:rPr>
        <w:rFonts w:ascii="Times New Roman" w:eastAsia="Times New Roman" w:hAnsi="Times New Roman" w:cs="FrankRuehl" w:hint="cs"/>
        <w:b/>
        <w:bCs/>
        <w:color w:val="000080"/>
        <w:spacing w:val="6"/>
        <w:sz w:val="20"/>
        <w:szCs w:val="20"/>
        <w:rtl/>
      </w:rPr>
      <w:t xml:space="preserve">טל: </w:t>
    </w:r>
    <w:r w:rsidRPr="00DF7B23">
      <w:rPr>
        <w:rFonts w:ascii="Times New Roman" w:eastAsia="Times New Roman" w:hAnsi="Times New Roman" w:cs="FrankRuehl"/>
        <w:b/>
        <w:bCs/>
        <w:color w:val="000080"/>
        <w:spacing w:val="6"/>
        <w:sz w:val="20"/>
        <w:szCs w:val="20"/>
      </w:rPr>
      <w:t>074-7480412</w:t>
    </w:r>
    <w:r w:rsidRPr="00DF7B23">
      <w:rPr>
        <w:rFonts w:ascii="Times New Roman" w:eastAsia="Times New Roman" w:hAnsi="Times New Roman" w:cs="FrankRuehl" w:hint="cs"/>
        <w:b/>
        <w:bCs/>
        <w:color w:val="000080"/>
        <w:spacing w:val="6"/>
        <w:sz w:val="20"/>
        <w:szCs w:val="20"/>
        <w:rtl/>
      </w:rPr>
      <w:t xml:space="preserve">                       דוא"ל</w:t>
    </w:r>
    <w:r w:rsidRPr="00DF7B23">
      <w:rPr>
        <w:rFonts w:ascii="Times New Roman" w:eastAsia="Times New Roman" w:hAnsi="Times New Roman" w:cs="FrankRuehl"/>
        <w:b/>
        <w:bCs/>
        <w:color w:val="000080"/>
        <w:spacing w:val="6"/>
        <w:sz w:val="20"/>
        <w:szCs w:val="20"/>
      </w:rPr>
      <w:t>:</w:t>
    </w:r>
    <w:r w:rsidRPr="00DF7B23">
      <w:rPr>
        <w:rFonts w:ascii="Times New Roman" w:eastAsia="Times New Roman" w:hAnsi="Times New Roman" w:cs="FrankRuehl" w:hint="cs"/>
        <w:b/>
        <w:bCs/>
        <w:color w:val="000080"/>
        <w:spacing w:val="6"/>
        <w:sz w:val="20"/>
        <w:szCs w:val="20"/>
        <w:rtl/>
      </w:rPr>
      <w:t xml:space="preserve">  </w:t>
    </w:r>
    <w:hyperlink r:id="rId1" w:history="1">
      <w:r w:rsidRPr="00DF7B23">
        <w:rPr>
          <w:rFonts w:ascii="Times New Roman" w:eastAsia="Times New Roman" w:hAnsi="Times New Roman" w:cs="FrankRuehl"/>
          <w:b/>
          <w:bCs/>
          <w:color w:val="0000FF"/>
          <w:spacing w:val="6"/>
          <w:sz w:val="20"/>
          <w:szCs w:val="20"/>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7D0" w:rsidRDefault="00EF77D0" w:rsidP="00730CA1">
      <w:pPr>
        <w:spacing w:after="0" w:line="240" w:lineRule="auto"/>
      </w:pPr>
      <w:r>
        <w:separator/>
      </w:r>
    </w:p>
  </w:footnote>
  <w:footnote w:type="continuationSeparator" w:id="0">
    <w:p w:rsidR="00EF77D0" w:rsidRDefault="00EF77D0"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260874" cy="308305"/>
          <wp:effectExtent l="0" t="0" r="6350" b="0"/>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645" cy="315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DF7B23"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0"/>
        <w:szCs w:val="20"/>
        <w:rtl/>
        <w:lang w:eastAsia="he-IL"/>
      </w:rPr>
    </w:pPr>
    <w:r w:rsidRPr="00DF7B23">
      <w:rPr>
        <w:rFonts w:ascii="Times New Roman" w:eastAsia="Times New Roman" w:hAnsi="Times New Roman" w:cs="FrankRuehl" w:hint="cs"/>
        <w:b/>
        <w:bCs/>
        <w:color w:val="000080"/>
        <w:spacing w:val="6"/>
        <w:sz w:val="20"/>
        <w:szCs w:val="20"/>
        <w:rtl/>
        <w:lang w:eastAsia="he-IL"/>
      </w:rPr>
      <w:t>מערכת בתי המשפט</w:t>
    </w:r>
  </w:p>
  <w:p w:rsidR="007007D7" w:rsidRPr="00DF7B23"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0"/>
        <w:szCs w:val="20"/>
        <w:lang w:eastAsia="he-IL"/>
      </w:rPr>
    </w:pPr>
    <w:r w:rsidRPr="00DF7B23">
      <w:rPr>
        <w:rFonts w:ascii="Times New Roman" w:eastAsia="Times New Roman" w:hAnsi="Times New Roman" w:cs="FrankRuehl" w:hint="cs"/>
        <w:b/>
        <w:bCs/>
        <w:color w:val="000080"/>
        <w:spacing w:val="6"/>
        <w:sz w:val="20"/>
        <w:szCs w:val="20"/>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921C3"/>
    <w:rsid w:val="003A639C"/>
    <w:rsid w:val="003C61AF"/>
    <w:rsid w:val="003E6E39"/>
    <w:rsid w:val="003E7EB7"/>
    <w:rsid w:val="00426AA7"/>
    <w:rsid w:val="004364B3"/>
    <w:rsid w:val="00515986"/>
    <w:rsid w:val="005253B2"/>
    <w:rsid w:val="00541C9E"/>
    <w:rsid w:val="00631744"/>
    <w:rsid w:val="00690B6F"/>
    <w:rsid w:val="006B7B96"/>
    <w:rsid w:val="006C3B1F"/>
    <w:rsid w:val="006F1E1F"/>
    <w:rsid w:val="007007D7"/>
    <w:rsid w:val="00711675"/>
    <w:rsid w:val="00730CA1"/>
    <w:rsid w:val="007B7899"/>
    <w:rsid w:val="00832AD7"/>
    <w:rsid w:val="008C02E0"/>
    <w:rsid w:val="00983123"/>
    <w:rsid w:val="009E5C0E"/>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DF7B23"/>
    <w:rsid w:val="00E35DF3"/>
    <w:rsid w:val="00EA6DF3"/>
    <w:rsid w:val="00EB6609"/>
    <w:rsid w:val="00EF77D0"/>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7AABCE75-3002-4429-B640-8C696B469674}">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448</Words>
  <Characters>2245</Characters>
  <Application>Microsoft Office Word</Application>
  <DocSecurity>0</DocSecurity>
  <Lines>18</Lines>
  <Paragraphs>5</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2024-10-07T06:03:00Z</dcterms:created>
  <dcterms:modified xsi:type="dcterms:W3CDTF">2024-10-07T06:03:00Z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01 באוקטובר 2024</vt:lpwstr>
  </property>
  <property fmtid="{D5CDD505-2E9C-101B-9397-08002B2CF9AE}" pid="3" name="DocDateHeb">
    <vt:lpwstr>כ"ח באלול תשפ"ד</vt:lpwstr>
  </property>
  <property fmtid="{D5CDD505-2E9C-101B-9397-08002B2CF9AE}" pid="4" name="DocNumber">
    <vt:lpwstr>4700-1039-2024-007311</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תפ"ח 47363-10-21</vt:lpwstr>
  </property>
</Properties>
</file>